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B90F19" w:rsidRDefault="001541D4" w:rsidP="003E6F57">
      <w:pPr>
        <w:spacing w:after="0" w:line="240" w:lineRule="auto"/>
        <w:ind w:right="4"/>
        <w:contextualSpacing/>
        <w:jc w:val="center"/>
        <w:rPr>
          <w:rFonts w:ascii="Cambria" w:eastAsia="Batang" w:hAnsi="Cambria"/>
          <w:b/>
          <w:color w:val="000000" w:themeColor="text1"/>
        </w:rPr>
      </w:pPr>
      <w:r w:rsidRPr="00B90F19">
        <w:rPr>
          <w:rFonts w:ascii="Cambria" w:eastAsia="Batang" w:hAnsi="Cambria"/>
          <w:b/>
          <w:color w:val="000000" w:themeColor="text1"/>
        </w:rPr>
        <w:t>TECHNICAL INFORMATION SHEET</w:t>
      </w:r>
    </w:p>
    <w:p w14:paraId="1052382E" w14:textId="18074639" w:rsidR="00BF29D3" w:rsidRPr="00B90F19" w:rsidRDefault="00BF29D3" w:rsidP="00BF29D3">
      <w:pPr>
        <w:spacing w:after="0" w:line="240" w:lineRule="auto"/>
        <w:ind w:right="4"/>
        <w:contextualSpacing/>
        <w:jc w:val="center"/>
        <w:rPr>
          <w:rFonts w:ascii="Cambria" w:hAnsi="Cambria"/>
          <w:b/>
          <w:color w:val="000000" w:themeColor="text1"/>
        </w:rPr>
      </w:pPr>
      <w:r w:rsidRPr="00693C83">
        <w:rPr>
          <w:rFonts w:ascii="Cambria" w:hAnsi="Cambria"/>
          <w:b/>
          <w:color w:val="000000" w:themeColor="text1"/>
        </w:rPr>
        <w:t>CASE 12.712 RUBÉN DARÍO ARROYAVE</w:t>
      </w:r>
    </w:p>
    <w:p w14:paraId="023C007F" w14:textId="79247A3F" w:rsidR="001541D4" w:rsidRPr="00B90F19" w:rsidRDefault="001541D4" w:rsidP="003E6F57">
      <w:pPr>
        <w:spacing w:after="0" w:line="240" w:lineRule="auto"/>
        <w:ind w:right="4"/>
        <w:contextualSpacing/>
        <w:jc w:val="center"/>
        <w:rPr>
          <w:rFonts w:ascii="Cambria" w:eastAsia="Batang" w:hAnsi="Cambria"/>
          <w:b/>
          <w:color w:val="000000" w:themeColor="text1"/>
        </w:rPr>
      </w:pPr>
      <w:r w:rsidRPr="00B90F19">
        <w:rPr>
          <w:rFonts w:ascii="Cambria" w:eastAsia="Batang" w:hAnsi="Cambria"/>
          <w:b/>
          <w:color w:val="000000" w:themeColor="text1"/>
        </w:rPr>
        <w:t xml:space="preserve">FRIENDLY SETTLEMENT REPORT </w:t>
      </w:r>
      <w:r w:rsidRPr="00693C83">
        <w:rPr>
          <w:rFonts w:ascii="Cambria" w:eastAsia="Batang" w:hAnsi="Cambria"/>
          <w:b/>
          <w:color w:val="000000" w:themeColor="text1"/>
        </w:rPr>
        <w:t>No</w:t>
      </w:r>
      <w:r w:rsidR="007B1EDA" w:rsidRPr="00B90F19">
        <w:rPr>
          <w:rFonts w:ascii="Cambria" w:eastAsia="Batang" w:hAnsi="Cambria"/>
          <w:b/>
          <w:color w:val="000000" w:themeColor="text1"/>
        </w:rPr>
        <w:t>.</w:t>
      </w:r>
      <w:r w:rsidR="00E761BB" w:rsidRPr="00B90F19">
        <w:rPr>
          <w:rFonts w:ascii="Cambria" w:eastAsia="Batang" w:hAnsi="Cambria"/>
          <w:b/>
          <w:color w:val="000000" w:themeColor="text1"/>
        </w:rPr>
        <w:t xml:space="preserve"> </w:t>
      </w:r>
      <w:hyperlink r:id="rId12">
        <w:r w:rsidR="003F1652" w:rsidRPr="00693C83">
          <w:rPr>
            <w:rStyle w:val="Hyperlink"/>
            <w:rFonts w:ascii="Cambria" w:hAnsi="Cambria"/>
            <w:b/>
            <w:color w:val="000000" w:themeColor="text1"/>
            <w:u w:val="none"/>
          </w:rPr>
          <w:t>135/17</w:t>
        </w:r>
      </w:hyperlink>
    </w:p>
    <w:p w14:paraId="52EBA80E" w14:textId="77777777" w:rsidR="001541D4" w:rsidRPr="00B90F19" w:rsidRDefault="001541D4" w:rsidP="003E6F57">
      <w:pPr>
        <w:spacing w:after="0" w:line="240" w:lineRule="auto"/>
        <w:ind w:right="4"/>
        <w:contextualSpacing/>
        <w:jc w:val="center"/>
        <w:rPr>
          <w:rFonts w:ascii="Cambria" w:eastAsia="Batang" w:hAnsi="Cambria"/>
          <w:b/>
          <w:color w:val="000000" w:themeColor="text1"/>
        </w:rPr>
      </w:pPr>
      <w:r w:rsidRPr="00B90F19">
        <w:rPr>
          <w:rFonts w:ascii="Cambria" w:eastAsia="Batang" w:hAnsi="Cambria"/>
          <w:b/>
          <w:color w:val="000000" w:themeColor="text1"/>
        </w:rPr>
        <w:t>TOTAL COMPLIANCE</w:t>
      </w:r>
    </w:p>
    <w:p w14:paraId="359B0977" w14:textId="7BA59E45" w:rsidR="001541D4" w:rsidRPr="003F1652" w:rsidRDefault="001541D4" w:rsidP="003E6F57">
      <w:pPr>
        <w:spacing w:after="0" w:line="240" w:lineRule="auto"/>
        <w:ind w:right="4"/>
        <w:contextualSpacing/>
        <w:jc w:val="center"/>
        <w:rPr>
          <w:rFonts w:ascii="Cambria" w:eastAsia="Batang" w:hAnsi="Cambria"/>
          <w:b/>
          <w:color w:val="000000" w:themeColor="text1"/>
        </w:rPr>
      </w:pPr>
      <w:r w:rsidRPr="00693C83">
        <w:rPr>
          <w:rFonts w:ascii="Cambria" w:eastAsia="Batang" w:hAnsi="Cambria"/>
          <w:b/>
          <w:color w:val="000000" w:themeColor="text1"/>
        </w:rPr>
        <w:t>(</w:t>
      </w:r>
      <w:r w:rsidR="00550B55" w:rsidRPr="00693C83">
        <w:rPr>
          <w:rFonts w:ascii="Cambria" w:eastAsia="Batang" w:hAnsi="Cambria"/>
          <w:b/>
          <w:color w:val="000000" w:themeColor="text1"/>
        </w:rPr>
        <w:t>COLOMBIA</w:t>
      </w:r>
      <w:r w:rsidRPr="00693C83">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8A31E5" w14:paraId="58669F97" w14:textId="77777777" w:rsidTr="00693C83">
        <w:trPr>
          <w:trHeight w:val="620"/>
          <w:jc w:val="center"/>
        </w:trPr>
        <w:tc>
          <w:tcPr>
            <w:tcW w:w="9350" w:type="dxa"/>
            <w:shd w:val="clear" w:color="auto" w:fill="F2F2F2"/>
          </w:tcPr>
          <w:p w14:paraId="25395B08" w14:textId="77777777" w:rsidR="003F1652" w:rsidRPr="00693C83" w:rsidRDefault="003F1652" w:rsidP="003F1652">
            <w:pPr>
              <w:pStyle w:val="NoSpacing"/>
              <w:rPr>
                <w:rFonts w:ascii="Cambria" w:hAnsi="Cambria"/>
                <w:b/>
                <w:color w:val="000000"/>
                <w:sz w:val="20"/>
                <w:szCs w:val="20"/>
              </w:rPr>
            </w:pPr>
            <w:r w:rsidRPr="00693C83">
              <w:rPr>
                <w:rFonts w:ascii="Cambria" w:hAnsi="Cambria"/>
                <w:b/>
                <w:color w:val="000000"/>
                <w:sz w:val="20"/>
                <w:szCs w:val="20"/>
              </w:rPr>
              <w:t>Victim (s): Rubén Darío Arroyave</w:t>
            </w:r>
          </w:p>
          <w:p w14:paraId="24660D96" w14:textId="77777777" w:rsidR="003F1652" w:rsidRPr="00693C83" w:rsidRDefault="003F1652" w:rsidP="003F1652">
            <w:pPr>
              <w:pStyle w:val="NoSpacing"/>
              <w:rPr>
                <w:rFonts w:ascii="Cambria" w:hAnsi="Cambria"/>
                <w:b/>
                <w:color w:val="000000"/>
                <w:sz w:val="20"/>
                <w:szCs w:val="20"/>
              </w:rPr>
            </w:pPr>
            <w:r w:rsidRPr="00693C83">
              <w:rPr>
                <w:rFonts w:ascii="Cambria" w:hAnsi="Cambria"/>
                <w:b/>
                <w:color w:val="000000"/>
                <w:sz w:val="20"/>
                <w:szCs w:val="20"/>
              </w:rPr>
              <w:t xml:space="preserve">Petitioner (s): </w:t>
            </w:r>
            <w:r w:rsidRPr="00693C83">
              <w:rPr>
                <w:rFonts w:ascii="Cambria" w:hAnsi="Cambria"/>
                <w:bCs/>
                <w:color w:val="000000"/>
                <w:sz w:val="20"/>
                <w:szCs w:val="20"/>
              </w:rPr>
              <w:t>José Luis Viveros Abisambra and Luis Felipe Viveros Montoya, Human Rights Center of Antioquia</w:t>
            </w:r>
          </w:p>
          <w:p w14:paraId="7A23F87F" w14:textId="77777777" w:rsidR="003F1652" w:rsidRPr="00693C83" w:rsidRDefault="003F1652" w:rsidP="003F1652">
            <w:pPr>
              <w:pStyle w:val="NoSpacing"/>
              <w:rPr>
                <w:rFonts w:ascii="Cambria" w:hAnsi="Cambria"/>
                <w:b/>
                <w:color w:val="000000"/>
                <w:sz w:val="20"/>
                <w:szCs w:val="20"/>
              </w:rPr>
            </w:pPr>
            <w:r w:rsidRPr="00693C83">
              <w:rPr>
                <w:rFonts w:ascii="Cambria" w:hAnsi="Cambria"/>
                <w:b/>
                <w:color w:val="000000"/>
                <w:sz w:val="20"/>
                <w:szCs w:val="20"/>
              </w:rPr>
              <w:t xml:space="preserve">State: </w:t>
            </w:r>
            <w:r w:rsidRPr="00693C83">
              <w:rPr>
                <w:rFonts w:ascii="Cambria" w:hAnsi="Cambria"/>
                <w:bCs/>
                <w:color w:val="000000"/>
                <w:sz w:val="20"/>
                <w:szCs w:val="20"/>
              </w:rPr>
              <w:t>Colombia</w:t>
            </w:r>
          </w:p>
          <w:p w14:paraId="51012B81" w14:textId="77777777" w:rsidR="003F1652" w:rsidRPr="00693C83" w:rsidRDefault="003F1652" w:rsidP="003F1652">
            <w:pPr>
              <w:pStyle w:val="NoSpacing"/>
              <w:rPr>
                <w:rFonts w:ascii="Cambria" w:hAnsi="Cambria"/>
                <w:b/>
                <w:bCs/>
                <w:color w:val="000000"/>
                <w:sz w:val="20"/>
                <w:szCs w:val="20"/>
              </w:rPr>
            </w:pPr>
            <w:r w:rsidRPr="00693C83">
              <w:rPr>
                <w:rFonts w:ascii="Cambria" w:hAnsi="Cambria"/>
                <w:b/>
                <w:color w:val="000000"/>
                <w:sz w:val="20"/>
                <w:szCs w:val="20"/>
              </w:rPr>
              <w:t xml:space="preserve">Beginning of the negotiation date: </w:t>
            </w:r>
            <w:r w:rsidRPr="00693C83">
              <w:rPr>
                <w:rFonts w:ascii="Cambria" w:hAnsi="Cambria"/>
                <w:bCs/>
                <w:color w:val="000000"/>
                <w:sz w:val="20"/>
                <w:szCs w:val="20"/>
              </w:rPr>
              <w:t>May 17, 2016</w:t>
            </w:r>
            <w:r w:rsidRPr="00693C83">
              <w:rPr>
                <w:rFonts w:ascii="Cambria" w:hAnsi="Cambria"/>
                <w:b/>
                <w:color w:val="000000"/>
                <w:sz w:val="20"/>
                <w:szCs w:val="20"/>
              </w:rPr>
              <w:t xml:space="preserve"> </w:t>
            </w:r>
          </w:p>
          <w:p w14:paraId="34EEC802" w14:textId="77777777" w:rsidR="003F1652" w:rsidRPr="00693C83" w:rsidRDefault="003F1652" w:rsidP="003F1652">
            <w:pPr>
              <w:pStyle w:val="NoSpacing"/>
              <w:jc w:val="both"/>
              <w:rPr>
                <w:rFonts w:ascii="Cambria" w:hAnsi="Cambria"/>
                <w:bCs/>
                <w:color w:val="000000"/>
                <w:sz w:val="20"/>
                <w:szCs w:val="20"/>
              </w:rPr>
            </w:pPr>
            <w:r w:rsidRPr="00693C83">
              <w:rPr>
                <w:rFonts w:ascii="Cambria" w:hAnsi="Cambria"/>
                <w:b/>
                <w:color w:val="000000"/>
                <w:sz w:val="20"/>
                <w:szCs w:val="20"/>
              </w:rPr>
              <w:t xml:space="preserve">FSA signature date: </w:t>
            </w:r>
            <w:r w:rsidRPr="00693C83">
              <w:rPr>
                <w:rFonts w:ascii="Cambria" w:hAnsi="Cambria"/>
                <w:bCs/>
                <w:color w:val="000000"/>
                <w:sz w:val="20"/>
                <w:szCs w:val="20"/>
              </w:rPr>
              <w:t xml:space="preserve">August 17, 2015 </w:t>
            </w:r>
          </w:p>
          <w:p w14:paraId="477BCDE4" w14:textId="77777777" w:rsidR="003F1652" w:rsidRPr="00693C83" w:rsidRDefault="003F1652" w:rsidP="003F1652">
            <w:pPr>
              <w:pStyle w:val="NoSpacing"/>
              <w:rPr>
                <w:rFonts w:ascii="Cambria" w:hAnsi="Cambria"/>
                <w:bCs/>
                <w:color w:val="000000"/>
                <w:sz w:val="20"/>
                <w:szCs w:val="20"/>
              </w:rPr>
            </w:pPr>
            <w:r w:rsidRPr="00693C83">
              <w:rPr>
                <w:rFonts w:ascii="Cambria" w:hAnsi="Cambria"/>
                <w:b/>
                <w:color w:val="000000"/>
                <w:sz w:val="20"/>
                <w:szCs w:val="20"/>
              </w:rPr>
              <w:t xml:space="preserve">Admissibility Report No.: </w:t>
            </w:r>
            <w:hyperlink r:id="rId13">
              <w:r w:rsidRPr="00693C83">
                <w:rPr>
                  <w:rStyle w:val="Hyperlink"/>
                  <w:rFonts w:ascii="Cambria" w:hAnsi="Cambria"/>
                  <w:b/>
                  <w:color w:val="000000" w:themeColor="text1"/>
                  <w:sz w:val="20"/>
                  <w:szCs w:val="20"/>
                </w:rPr>
                <w:t>69/09</w:t>
              </w:r>
            </w:hyperlink>
            <w:r w:rsidRPr="00693C83">
              <w:rPr>
                <w:rFonts w:ascii="Cambria" w:hAnsi="Cambria"/>
                <w:b/>
                <w:color w:val="000000" w:themeColor="text1"/>
                <w:sz w:val="20"/>
                <w:szCs w:val="20"/>
              </w:rPr>
              <w:t xml:space="preserve">, </w:t>
            </w:r>
            <w:r w:rsidRPr="00693C83">
              <w:rPr>
                <w:rFonts w:ascii="Cambria" w:hAnsi="Cambria"/>
                <w:bCs/>
                <w:color w:val="000000"/>
                <w:sz w:val="20"/>
                <w:szCs w:val="20"/>
              </w:rPr>
              <w:t>published on August 5, 2009</w:t>
            </w:r>
          </w:p>
          <w:p w14:paraId="73968382" w14:textId="77777777" w:rsidR="003F1652" w:rsidRPr="00693C83" w:rsidRDefault="003F1652" w:rsidP="003F1652">
            <w:pPr>
              <w:pStyle w:val="NoSpacing"/>
              <w:rPr>
                <w:rFonts w:ascii="Cambria" w:hAnsi="Cambria"/>
                <w:b/>
                <w:color w:val="000000"/>
                <w:sz w:val="20"/>
                <w:szCs w:val="20"/>
              </w:rPr>
            </w:pPr>
            <w:r w:rsidRPr="00693C83">
              <w:rPr>
                <w:rFonts w:ascii="Cambria" w:hAnsi="Cambria"/>
                <w:b/>
                <w:color w:val="000000"/>
                <w:sz w:val="20"/>
                <w:szCs w:val="20"/>
              </w:rPr>
              <w:t xml:space="preserve">Friendly Settlement Agreement Report No.: </w:t>
            </w:r>
            <w:hyperlink r:id="rId14">
              <w:r w:rsidRPr="00693C83">
                <w:rPr>
                  <w:rStyle w:val="Hyperlink"/>
                  <w:rFonts w:ascii="Cambria" w:hAnsi="Cambria"/>
                  <w:b/>
                  <w:color w:val="000000" w:themeColor="text1"/>
                  <w:sz w:val="20"/>
                  <w:szCs w:val="20"/>
                </w:rPr>
                <w:t>135/17</w:t>
              </w:r>
            </w:hyperlink>
            <w:r w:rsidRPr="00693C83">
              <w:rPr>
                <w:rFonts w:ascii="Cambria" w:hAnsi="Cambria"/>
                <w:b/>
                <w:color w:val="000000" w:themeColor="text1"/>
                <w:sz w:val="20"/>
                <w:szCs w:val="20"/>
              </w:rPr>
              <w:t xml:space="preserve">, </w:t>
            </w:r>
            <w:r w:rsidRPr="00693C83">
              <w:rPr>
                <w:rFonts w:ascii="Cambria" w:hAnsi="Cambria"/>
                <w:bCs/>
                <w:color w:val="000000"/>
                <w:sz w:val="20"/>
                <w:szCs w:val="20"/>
              </w:rPr>
              <w:t>published on October 25, 2017</w:t>
            </w:r>
          </w:p>
          <w:p w14:paraId="704010B4" w14:textId="77777777" w:rsidR="003F1652" w:rsidRPr="00693C83" w:rsidRDefault="003F1652" w:rsidP="003F1652">
            <w:pPr>
              <w:pStyle w:val="NoSpacing"/>
              <w:jc w:val="both"/>
              <w:rPr>
                <w:rFonts w:ascii="Cambria" w:hAnsi="Cambria"/>
                <w:b/>
                <w:bCs/>
                <w:color w:val="000000"/>
                <w:sz w:val="20"/>
                <w:szCs w:val="20"/>
              </w:rPr>
            </w:pPr>
            <w:r w:rsidRPr="00693C83">
              <w:rPr>
                <w:rFonts w:ascii="Cambria" w:hAnsi="Cambria"/>
                <w:b/>
                <w:color w:val="000000"/>
                <w:sz w:val="20"/>
                <w:szCs w:val="20"/>
              </w:rPr>
              <w:t xml:space="preserve">Estimated length of the negotiation phase: </w:t>
            </w:r>
            <w:r w:rsidRPr="00693C83">
              <w:rPr>
                <w:rFonts w:ascii="Cambria" w:hAnsi="Cambria"/>
                <w:bCs/>
                <w:color w:val="000000"/>
                <w:sz w:val="20"/>
                <w:szCs w:val="20"/>
              </w:rPr>
              <w:t>1 year 5 months</w:t>
            </w:r>
          </w:p>
          <w:p w14:paraId="64CDBA9B" w14:textId="77777777" w:rsidR="003F1652" w:rsidRPr="00693C83" w:rsidRDefault="003F1652" w:rsidP="003F1652">
            <w:pPr>
              <w:pStyle w:val="NoSpacing"/>
              <w:rPr>
                <w:rFonts w:ascii="Cambria" w:hAnsi="Cambria"/>
                <w:b/>
                <w:color w:val="000000"/>
                <w:sz w:val="20"/>
                <w:szCs w:val="20"/>
              </w:rPr>
            </w:pPr>
            <w:r w:rsidRPr="00693C83">
              <w:rPr>
                <w:rFonts w:ascii="Cambria" w:hAnsi="Cambria"/>
                <w:b/>
                <w:color w:val="000000"/>
                <w:sz w:val="20"/>
                <w:szCs w:val="20"/>
              </w:rPr>
              <w:t xml:space="preserve">Related Rapporteurship (s): </w:t>
            </w:r>
            <w:r w:rsidRPr="00693C83">
              <w:rPr>
                <w:rFonts w:ascii="Cambria" w:hAnsi="Cambria"/>
                <w:bCs/>
                <w:color w:val="000000"/>
                <w:sz w:val="20"/>
                <w:szCs w:val="20"/>
              </w:rPr>
              <w:t>Persons Deprived of Liberty</w:t>
            </w:r>
          </w:p>
          <w:p w14:paraId="437CB7D5" w14:textId="77777777" w:rsidR="003F1652" w:rsidRPr="00693C83" w:rsidRDefault="003F1652" w:rsidP="003F1652">
            <w:pPr>
              <w:pStyle w:val="NoSpacing"/>
              <w:rPr>
                <w:rFonts w:ascii="Cambria" w:hAnsi="Cambria"/>
                <w:b/>
                <w:color w:val="000000"/>
                <w:sz w:val="20"/>
                <w:szCs w:val="20"/>
              </w:rPr>
            </w:pPr>
            <w:r w:rsidRPr="00693C83">
              <w:rPr>
                <w:rFonts w:ascii="Cambria" w:hAnsi="Cambria"/>
                <w:b/>
                <w:color w:val="000000"/>
                <w:sz w:val="20"/>
                <w:szCs w:val="20"/>
              </w:rPr>
              <w:t xml:space="preserve">Topics: </w:t>
            </w:r>
            <w:r w:rsidRPr="00693C83">
              <w:rPr>
                <w:rFonts w:ascii="Cambria" w:hAnsi="Cambria"/>
                <w:bCs/>
                <w:color w:val="000000"/>
                <w:sz w:val="20"/>
                <w:szCs w:val="20"/>
              </w:rPr>
              <w:t>Persons deprived of liberty / Detention centers / Detention conditions / Police stations / Care and Custody / Investigation / Penitentiary system / Investigation</w:t>
            </w:r>
          </w:p>
          <w:p w14:paraId="22A532F5" w14:textId="77777777" w:rsidR="003F1652" w:rsidRPr="00693C83" w:rsidRDefault="003F1652" w:rsidP="003F1652">
            <w:pPr>
              <w:pStyle w:val="NoSpacing"/>
              <w:rPr>
                <w:rFonts w:ascii="Cambria" w:hAnsi="Cambria"/>
                <w:b/>
                <w:color w:val="000000"/>
                <w:sz w:val="20"/>
                <w:szCs w:val="20"/>
              </w:rPr>
            </w:pPr>
          </w:p>
          <w:p w14:paraId="36A0ACE8" w14:textId="77777777" w:rsidR="003F1652" w:rsidRPr="00693C83" w:rsidRDefault="003F1652" w:rsidP="003F1652">
            <w:pPr>
              <w:pStyle w:val="NoSpacing"/>
              <w:jc w:val="both"/>
              <w:rPr>
                <w:rFonts w:ascii="Cambria" w:hAnsi="Cambria"/>
                <w:bCs/>
                <w:color w:val="000000"/>
                <w:sz w:val="20"/>
                <w:szCs w:val="20"/>
              </w:rPr>
            </w:pPr>
            <w:r w:rsidRPr="00693C83">
              <w:rPr>
                <w:rFonts w:ascii="Cambria" w:hAnsi="Cambria"/>
                <w:b/>
                <w:color w:val="000000"/>
                <w:sz w:val="20"/>
                <w:szCs w:val="20"/>
              </w:rPr>
              <w:t xml:space="preserve">Facts: </w:t>
            </w:r>
            <w:r w:rsidRPr="00693C83">
              <w:rPr>
                <w:rFonts w:ascii="Cambria" w:hAnsi="Cambria"/>
                <w:bCs/>
                <w:color w:val="000000"/>
                <w:sz w:val="20"/>
                <w:szCs w:val="20"/>
              </w:rPr>
              <w:t>The case refers to the State’s responsibility for the failure to investigate and punish those responsible for the kidnapping and homicide of Rubén Darío Arroyave Gallego, while he was in the State’s custody on November 20, 1995. The petitioners alleged that Rubén Darío Arroyave, who had a disability, had been kidnapped and killed by members of illegal armed groups while he was being held in a prison located in the municipality of El Bagre. According to the allegations of the petitioners, the State had failed to fulfill its duty to protect and safeguard Mr. Arroyave Gallego and had not investigated the incidents that had taken place nor had it compensated the next of kin of the alleged victim. The petitioners alleged that Mr. Arroyave Gallego suffered from a disability that would trigger behavioral disorders. As indicated by the petitioners, as a result of one of these episodes, Mr. Arroyave Gallego had perpetrated a crime of aggravated theft, for which he was convicted. The petitioners indicated that Rubén Darío Arroyave was incarcerated in a penitentiary center under the custody of the National Penitentiary and Prison Institute (</w:t>
            </w:r>
            <w:r w:rsidRPr="00693C83">
              <w:rPr>
                <w:rFonts w:ascii="Cambria" w:hAnsi="Cambria"/>
                <w:bCs/>
                <w:i/>
                <w:color w:val="000000"/>
                <w:sz w:val="20"/>
                <w:szCs w:val="20"/>
              </w:rPr>
              <w:t>Instituto Nacional Penitenciario and Carcelario—INPEC</w:t>
            </w:r>
            <w:r w:rsidRPr="00693C83">
              <w:rPr>
                <w:rFonts w:ascii="Cambria" w:hAnsi="Cambria"/>
                <w:bCs/>
                <w:color w:val="000000"/>
                <w:sz w:val="20"/>
                <w:szCs w:val="20"/>
              </w:rPr>
              <w:t xml:space="preserve">), which was not in keeping with his medical condition, because it did not benefit from medical staff or the necessary resources to take care of a person with a disability of this kind. The petitioners also indicated that, because he was a retired officer of the armed forces who had served in high-danger areas where there were illegal armed groups, the alleged victim feared for his life and had requested, on many occasions, his transfer to an institution in accordance with his medical condition and specific risk level. The petitioners alleged that, on September 20, 1995, men belonging to an unidentified illegal armed group had burst violently into the premises of the prison of the Municipality of El Bagre and had taken Rubén Darío Arroyave Gallego, who was then summarily executed in the neighboring municipality of Zaragoza, also located in the Department of Antioquia, where his lifeless body was found. The petitioners did not indicate the estimated time of his death or the duration of the kidnapping. The petitioners indicated that state authorities, both from the police and the penitentiary, had not taken any actions to prevent the kidnapping of Rubén Darío Arroyave, or to pursue his kidnappers once he had been taken out of the detention center by force. </w:t>
            </w:r>
          </w:p>
          <w:p w14:paraId="4D161A32" w14:textId="77777777" w:rsidR="003F1652" w:rsidRPr="00693C83" w:rsidRDefault="003F1652" w:rsidP="003F1652">
            <w:pPr>
              <w:pStyle w:val="NoSpacing"/>
              <w:jc w:val="both"/>
              <w:rPr>
                <w:rFonts w:ascii="Cambria" w:hAnsi="Cambria"/>
                <w:bCs/>
                <w:color w:val="000000"/>
                <w:sz w:val="20"/>
                <w:szCs w:val="20"/>
              </w:rPr>
            </w:pPr>
          </w:p>
          <w:p w14:paraId="38FCE193" w14:textId="63F7C8CD" w:rsidR="006F75AC" w:rsidRPr="00693C83" w:rsidRDefault="003F1652" w:rsidP="003F1652">
            <w:pPr>
              <w:tabs>
                <w:tab w:val="left" w:pos="9270"/>
              </w:tabs>
              <w:spacing w:after="0" w:line="240" w:lineRule="auto"/>
              <w:jc w:val="both"/>
              <w:rPr>
                <w:rFonts w:ascii="Cambria" w:eastAsia="Batang" w:hAnsi="Cambria"/>
                <w:color w:val="000000"/>
                <w:sz w:val="20"/>
                <w:szCs w:val="20"/>
              </w:rPr>
            </w:pPr>
            <w:r w:rsidRPr="00693C83">
              <w:rPr>
                <w:rFonts w:ascii="Cambria" w:hAnsi="Cambria"/>
                <w:bCs/>
                <w:color w:val="000000"/>
                <w:sz w:val="20"/>
                <w:szCs w:val="20"/>
              </w:rPr>
              <w:t xml:space="preserve">Rights declared admissible: The Commission concluded that it was competent to hear the present case and that the petition was admissible according to Articles 46 and 47 of the American Convention, for the purpose of examining the alleged violation of Articles 4(1), 8 (right to a fair trial), and 25 (judicial protection </w:t>
            </w:r>
            <w:r w:rsidRPr="00693C83">
              <w:rPr>
                <w:rFonts w:ascii="Cambria" w:hAnsi="Cambria"/>
                <w:bCs/>
                <w:color w:val="000000"/>
                <w:sz w:val="20"/>
                <w:szCs w:val="20"/>
              </w:rPr>
              <w:lastRenderedPageBreak/>
              <w:t>guarantees) in connection with Articles 1(1) and 2 of the American Convention, to notify the report to the parties, to order its publication, and to include it in its Annual Report to the General Assembly of the OAS.</w:t>
            </w:r>
          </w:p>
        </w:tc>
      </w:tr>
    </w:tbl>
    <w:p w14:paraId="74053FDD" w14:textId="77777777" w:rsidR="001541D4" w:rsidRPr="008A31E5" w:rsidRDefault="001541D4" w:rsidP="001541D4">
      <w:pPr>
        <w:spacing w:after="0" w:line="240" w:lineRule="auto"/>
        <w:ind w:left="720"/>
        <w:contextualSpacing/>
        <w:jc w:val="both"/>
        <w:rPr>
          <w:rFonts w:ascii="Cambria" w:eastAsia="Batang" w:hAnsi="Cambria" w:cs="Calibri Light"/>
          <w:b/>
          <w:color w:val="000000"/>
        </w:rPr>
      </w:pPr>
    </w:p>
    <w:p w14:paraId="622D1A9C" w14:textId="565FEC6F" w:rsidR="001541D4" w:rsidRPr="008A31E5" w:rsidRDefault="001541D4" w:rsidP="00F9344E">
      <w:pPr>
        <w:numPr>
          <w:ilvl w:val="0"/>
          <w:numId w:val="37"/>
        </w:numPr>
        <w:spacing w:after="0" w:line="240" w:lineRule="auto"/>
        <w:ind w:left="0" w:firstLine="720"/>
        <w:contextualSpacing/>
        <w:jc w:val="both"/>
        <w:rPr>
          <w:rFonts w:ascii="Cambria" w:eastAsia="Batang" w:hAnsi="Cambria" w:cs="Calibri Light"/>
          <w:b/>
          <w:color w:val="000000"/>
        </w:rPr>
      </w:pPr>
      <w:r w:rsidRPr="008A31E5">
        <w:rPr>
          <w:rFonts w:ascii="Cambria" w:eastAsia="Batang" w:hAnsi="Cambria"/>
          <w:b/>
          <w:color w:val="000000"/>
        </w:rPr>
        <w:t>PROCEDURAL ACTIVITY</w:t>
      </w:r>
    </w:p>
    <w:p w14:paraId="2CC56662" w14:textId="77777777" w:rsidR="003F1652" w:rsidRPr="008A31E5" w:rsidRDefault="003F1652" w:rsidP="003F1652">
      <w:pPr>
        <w:spacing w:after="0"/>
        <w:contextualSpacing/>
        <w:jc w:val="both"/>
        <w:rPr>
          <w:rFonts w:ascii="Cambria" w:eastAsia="Batang" w:hAnsi="Cambria" w:cs="Calibri Light"/>
          <w:b/>
          <w:color w:val="000000"/>
        </w:rPr>
      </w:pPr>
    </w:p>
    <w:p w14:paraId="096A6976" w14:textId="62AD0300" w:rsidR="001875BB" w:rsidRPr="008A31E5" w:rsidRDefault="001875BB" w:rsidP="001875BB">
      <w:pPr>
        <w:pStyle w:val="ListParagraph"/>
        <w:numPr>
          <w:ilvl w:val="0"/>
          <w:numId w:val="4"/>
        </w:numPr>
        <w:spacing w:after="0" w:line="240" w:lineRule="auto"/>
        <w:ind w:left="0" w:firstLine="720"/>
        <w:jc w:val="both"/>
        <w:rPr>
          <w:rFonts w:ascii="Cambria" w:hAnsi="Cambria"/>
          <w:sz w:val="20"/>
          <w:szCs w:val="20"/>
        </w:rPr>
      </w:pPr>
      <w:r w:rsidRPr="008A31E5">
        <w:rPr>
          <w:rFonts w:ascii="Cambria" w:hAnsi="Cambria"/>
          <w:sz w:val="20"/>
          <w:szCs w:val="20"/>
        </w:rPr>
        <w:t xml:space="preserve">On August </w:t>
      </w:r>
      <w:r w:rsidR="008A31E5" w:rsidRPr="008A31E5">
        <w:rPr>
          <w:rFonts w:ascii="Cambria" w:hAnsi="Cambria"/>
          <w:sz w:val="20"/>
          <w:szCs w:val="20"/>
        </w:rPr>
        <w:t>17</w:t>
      </w:r>
      <w:r w:rsidRPr="008A31E5">
        <w:rPr>
          <w:rFonts w:ascii="Cambria" w:hAnsi="Cambria"/>
          <w:sz w:val="20"/>
          <w:szCs w:val="20"/>
        </w:rPr>
        <w:t>, 20</w:t>
      </w:r>
      <w:r w:rsidR="008A31E5" w:rsidRPr="008A31E5">
        <w:rPr>
          <w:rFonts w:ascii="Cambria" w:hAnsi="Cambria"/>
          <w:sz w:val="20"/>
          <w:szCs w:val="20"/>
        </w:rPr>
        <w:t>15</w:t>
      </w:r>
      <w:r w:rsidRPr="008A31E5">
        <w:rPr>
          <w:rFonts w:ascii="Cambria" w:hAnsi="Cambria"/>
          <w:sz w:val="20"/>
          <w:szCs w:val="20"/>
        </w:rPr>
        <w:t>, the parties signed a friendly settlement agreement.</w:t>
      </w:r>
    </w:p>
    <w:p w14:paraId="525C8372" w14:textId="77777777" w:rsidR="001875BB" w:rsidRPr="008A31E5" w:rsidRDefault="001875BB" w:rsidP="001875BB">
      <w:pPr>
        <w:pStyle w:val="ListParagraph"/>
        <w:spacing w:line="240" w:lineRule="auto"/>
        <w:rPr>
          <w:rFonts w:ascii="Cambria" w:hAnsi="Cambria"/>
          <w:sz w:val="20"/>
          <w:szCs w:val="20"/>
        </w:rPr>
      </w:pPr>
      <w:r w:rsidRPr="008A31E5">
        <w:rPr>
          <w:rFonts w:ascii="Cambria" w:hAnsi="Cambria"/>
          <w:sz w:val="20"/>
          <w:szCs w:val="20"/>
        </w:rPr>
        <w:t xml:space="preserve"> </w:t>
      </w:r>
    </w:p>
    <w:p w14:paraId="4A1EF40E" w14:textId="7262A15D" w:rsidR="001875BB" w:rsidRPr="00693C83" w:rsidRDefault="001875BB" w:rsidP="00693C83">
      <w:pPr>
        <w:pStyle w:val="ListParagraph"/>
        <w:numPr>
          <w:ilvl w:val="0"/>
          <w:numId w:val="4"/>
        </w:numPr>
        <w:ind w:left="0" w:firstLine="720"/>
        <w:jc w:val="both"/>
        <w:rPr>
          <w:rFonts w:eastAsia="Batang" w:cs="Calibri Light"/>
        </w:rPr>
      </w:pPr>
      <w:r w:rsidRPr="00693C83">
        <w:rPr>
          <w:rFonts w:ascii="Cambria" w:hAnsi="Cambria"/>
          <w:sz w:val="20"/>
          <w:szCs w:val="20"/>
        </w:rPr>
        <w:t>On October 2</w:t>
      </w:r>
      <w:r w:rsidR="008A31E5" w:rsidRPr="008A31E5">
        <w:rPr>
          <w:rFonts w:ascii="Cambria" w:hAnsi="Cambria"/>
          <w:sz w:val="20"/>
          <w:szCs w:val="20"/>
        </w:rPr>
        <w:t>5</w:t>
      </w:r>
      <w:r w:rsidRPr="00693C83">
        <w:rPr>
          <w:rFonts w:ascii="Cambria" w:hAnsi="Cambria"/>
          <w:sz w:val="20"/>
          <w:szCs w:val="20"/>
        </w:rPr>
        <w:t>, 20</w:t>
      </w:r>
      <w:r w:rsidR="008A31E5" w:rsidRPr="008A31E5">
        <w:rPr>
          <w:rFonts w:ascii="Cambria" w:hAnsi="Cambria"/>
          <w:sz w:val="20"/>
          <w:szCs w:val="20"/>
        </w:rPr>
        <w:t>17</w:t>
      </w:r>
      <w:r w:rsidRPr="00693C83">
        <w:rPr>
          <w:rFonts w:ascii="Cambria" w:hAnsi="Cambria"/>
          <w:sz w:val="20"/>
          <w:szCs w:val="20"/>
        </w:rPr>
        <w:t>, the IACHR published Report No. 220/23, approving the friendly settlement agreement</w:t>
      </w:r>
      <w:r w:rsidR="004F6060" w:rsidRPr="008A31E5">
        <w:rPr>
          <w:rFonts w:ascii="Cambria" w:hAnsi="Cambria"/>
          <w:sz w:val="20"/>
          <w:szCs w:val="20"/>
        </w:rPr>
        <w:t>.</w:t>
      </w:r>
    </w:p>
    <w:p w14:paraId="0D0D4146" w14:textId="77777777" w:rsidR="00F9344E" w:rsidRPr="00693C83" w:rsidRDefault="00F9344E" w:rsidP="00F9344E">
      <w:pPr>
        <w:spacing w:after="0" w:line="240" w:lineRule="auto"/>
        <w:ind w:left="709"/>
        <w:contextualSpacing/>
        <w:jc w:val="both"/>
        <w:rPr>
          <w:rFonts w:ascii="Cambria" w:eastAsia="Batang" w:hAnsi="Cambria"/>
          <w:bCs/>
          <w:color w:val="080808"/>
        </w:rPr>
      </w:pPr>
    </w:p>
    <w:p w14:paraId="554FEE1F" w14:textId="77777777" w:rsidR="001541D4" w:rsidRPr="008A31E5"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8A31E5">
        <w:rPr>
          <w:rFonts w:ascii="Cambria" w:eastAsia="Batang" w:hAnsi="Cambria" w:cs="Calibri Light"/>
          <w:b/>
          <w:color w:val="000000"/>
        </w:rPr>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B040C7"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693C83" w:rsidRDefault="003E6F57" w:rsidP="00F024F0">
            <w:pPr>
              <w:tabs>
                <w:tab w:val="center" w:pos="2049"/>
              </w:tabs>
              <w:spacing w:after="0" w:line="240" w:lineRule="auto"/>
              <w:jc w:val="center"/>
              <w:rPr>
                <w:rFonts w:ascii="Cambria" w:eastAsia="Batang" w:hAnsi="Cambria"/>
                <w:b/>
                <w:color w:val="000000"/>
                <w:sz w:val="20"/>
                <w:szCs w:val="20"/>
              </w:rPr>
            </w:pPr>
            <w:r w:rsidRPr="00693C83">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693C83" w:rsidRDefault="003E6F57" w:rsidP="00F024F0">
            <w:pPr>
              <w:spacing w:after="0" w:line="240" w:lineRule="auto"/>
              <w:jc w:val="center"/>
              <w:rPr>
                <w:rFonts w:ascii="Cambria" w:eastAsia="Batang" w:hAnsi="Cambria"/>
                <w:b/>
                <w:color w:val="000000"/>
                <w:sz w:val="20"/>
                <w:szCs w:val="20"/>
              </w:rPr>
            </w:pPr>
            <w:r w:rsidRPr="00693C83">
              <w:rPr>
                <w:rFonts w:ascii="Cambria" w:eastAsia="Batang" w:hAnsi="Cambria"/>
                <w:b/>
                <w:color w:val="000000"/>
                <w:sz w:val="20"/>
                <w:szCs w:val="20"/>
              </w:rPr>
              <w:t xml:space="preserve">Status of Implementation </w:t>
            </w:r>
          </w:p>
        </w:tc>
      </w:tr>
      <w:tr w:rsidR="00B554FC" w:rsidRPr="00B040C7" w14:paraId="7FF98348"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516F002C" w14:textId="77777777" w:rsidR="003F1652" w:rsidRPr="00693C83" w:rsidRDefault="003F1652" w:rsidP="003F1652">
            <w:pPr>
              <w:spacing w:after="0" w:line="240" w:lineRule="auto"/>
              <w:jc w:val="both"/>
              <w:rPr>
                <w:rFonts w:ascii="Cambria" w:eastAsia="Batang" w:hAnsi="Cambria"/>
                <w:b/>
                <w:bCs/>
                <w:color w:val="080808"/>
                <w:sz w:val="20"/>
                <w:szCs w:val="20"/>
              </w:rPr>
            </w:pPr>
            <w:r w:rsidRPr="00693C83">
              <w:rPr>
                <w:rFonts w:ascii="Cambria" w:eastAsia="Batang" w:hAnsi="Cambria"/>
                <w:b/>
                <w:bCs/>
                <w:color w:val="080808"/>
                <w:sz w:val="20"/>
                <w:szCs w:val="20"/>
              </w:rPr>
              <w:t xml:space="preserve">ONE: RECOGNITION OF RESPONSIBILITY </w:t>
            </w:r>
          </w:p>
          <w:p w14:paraId="2A667605" w14:textId="77777777" w:rsidR="003F1652" w:rsidRPr="00693C83" w:rsidRDefault="003F1652" w:rsidP="003F1652">
            <w:pPr>
              <w:spacing w:after="0" w:line="240" w:lineRule="auto"/>
              <w:jc w:val="both"/>
              <w:rPr>
                <w:rFonts w:ascii="Cambria" w:eastAsia="Batang" w:hAnsi="Cambria"/>
                <w:color w:val="080808"/>
                <w:sz w:val="20"/>
                <w:szCs w:val="20"/>
              </w:rPr>
            </w:pPr>
            <w:r w:rsidRPr="00693C83">
              <w:rPr>
                <w:rFonts w:ascii="Cambria" w:eastAsia="Batang" w:hAnsi="Cambria"/>
                <w:color w:val="080808"/>
                <w:sz w:val="20"/>
                <w:szCs w:val="20"/>
              </w:rPr>
              <w:t xml:space="preserve">The Colombian State acknowledges its international responsibility for failure to guarantee the rights to juridical personality (Article 3), to life (Article 4), to humane treatment (Article 5.1), and to personal liberty (Article 7) established in the American Convention on Human Rights, in light of the general obligation set forth in Article 1.1 of that instrument, of Mr. Rubén Darío Arroyave Gallego. </w:t>
            </w:r>
          </w:p>
          <w:p w14:paraId="37CA7615" w14:textId="77777777" w:rsidR="003F1652" w:rsidRPr="00693C83" w:rsidRDefault="003F1652" w:rsidP="003F1652">
            <w:pPr>
              <w:spacing w:after="0" w:line="240" w:lineRule="auto"/>
              <w:jc w:val="both"/>
              <w:rPr>
                <w:rFonts w:ascii="Cambria" w:eastAsia="Batang" w:hAnsi="Cambria"/>
                <w:color w:val="080808"/>
                <w:sz w:val="20"/>
                <w:szCs w:val="20"/>
              </w:rPr>
            </w:pPr>
            <w:r w:rsidRPr="00693C83">
              <w:rPr>
                <w:rFonts w:ascii="Cambria" w:eastAsia="Batang" w:hAnsi="Cambria"/>
                <w:color w:val="080808"/>
                <w:sz w:val="20"/>
                <w:szCs w:val="20"/>
              </w:rPr>
              <w:t xml:space="preserve">Given that Mr. Arroyave Gallego was incarcerated and in the custody of the State, and because of the special condition of being subject to State power, the government is fully responsible for his safety and protection. </w:t>
            </w:r>
          </w:p>
          <w:p w14:paraId="377599E5" w14:textId="6D20DC6B" w:rsidR="00B554FC" w:rsidRPr="00693C83" w:rsidRDefault="003F1652" w:rsidP="003F1652">
            <w:pPr>
              <w:spacing w:after="0" w:line="240" w:lineRule="auto"/>
              <w:jc w:val="both"/>
              <w:rPr>
                <w:rFonts w:ascii="Cambria" w:eastAsia="Batang" w:hAnsi="Cambria"/>
                <w:color w:val="080808"/>
                <w:sz w:val="20"/>
                <w:szCs w:val="20"/>
              </w:rPr>
            </w:pPr>
            <w:r w:rsidRPr="00693C83">
              <w:rPr>
                <w:rFonts w:ascii="Cambria" w:eastAsia="Batang" w:hAnsi="Cambria"/>
                <w:color w:val="080808"/>
                <w:sz w:val="20"/>
                <w:szCs w:val="20"/>
              </w:rPr>
              <w:t>In light of the foregoing, the State also acknowledges its international responsibility for violation of the right to humane treatment (Article 5.1) under the American Convention on Human Rights of the family members of Rubén Darío Arroyave Gallego, due to the anguish caused by his abduction from the jail and the uncertainty surrounding the causes and circumstances of his death.</w:t>
            </w:r>
          </w:p>
        </w:tc>
        <w:tc>
          <w:tcPr>
            <w:tcW w:w="1985" w:type="dxa"/>
            <w:tcBorders>
              <w:top w:val="single" w:sz="4" w:space="0" w:color="auto"/>
              <w:left w:val="single" w:sz="4" w:space="0" w:color="auto"/>
              <w:bottom w:val="single" w:sz="4" w:space="0" w:color="auto"/>
              <w:right w:val="single" w:sz="4" w:space="0" w:color="auto"/>
            </w:tcBorders>
            <w:vAlign w:val="center"/>
          </w:tcPr>
          <w:p w14:paraId="359DC0C8" w14:textId="757F9218" w:rsidR="00B554FC" w:rsidRPr="00693C83" w:rsidRDefault="00B554FC" w:rsidP="00550B55">
            <w:pPr>
              <w:spacing w:after="0" w:line="240" w:lineRule="auto"/>
              <w:jc w:val="center"/>
              <w:rPr>
                <w:rFonts w:ascii="Cambria" w:eastAsia="Batang" w:hAnsi="Cambria"/>
                <w:b/>
                <w:color w:val="000000"/>
                <w:sz w:val="20"/>
                <w:szCs w:val="20"/>
                <w:lang w:eastAsia="es-ES_tradnl"/>
              </w:rPr>
            </w:pPr>
            <w:r w:rsidRPr="00693C83">
              <w:rPr>
                <w:rFonts w:ascii="Cambria" w:eastAsia="Batang" w:hAnsi="Cambria"/>
                <w:b/>
                <w:color w:val="000000"/>
                <w:sz w:val="20"/>
                <w:szCs w:val="20"/>
                <w:lang w:eastAsia="es-ES_tradnl"/>
              </w:rPr>
              <w:t>Declarative clause</w:t>
            </w:r>
          </w:p>
        </w:tc>
      </w:tr>
      <w:tr w:rsidR="00550B55" w:rsidRPr="00B040C7"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6FCC8F98" w14:textId="699F596E" w:rsidR="003F1652" w:rsidRPr="00693C83" w:rsidRDefault="003F1652" w:rsidP="003F1652">
            <w:pPr>
              <w:spacing w:after="0" w:line="240" w:lineRule="auto"/>
              <w:rPr>
                <w:rFonts w:ascii="Cambria" w:eastAsia="Batang" w:hAnsi="Cambria"/>
                <w:b/>
                <w:bCs/>
                <w:color w:val="080808"/>
                <w:sz w:val="20"/>
                <w:szCs w:val="20"/>
                <w:lang w:bidi="en-US"/>
              </w:rPr>
            </w:pPr>
            <w:r w:rsidRPr="00693C83">
              <w:rPr>
                <w:rFonts w:ascii="Cambria" w:eastAsia="Batang" w:hAnsi="Cambria"/>
                <w:b/>
                <w:bCs/>
                <w:color w:val="080808"/>
                <w:sz w:val="20"/>
                <w:szCs w:val="20"/>
                <w:lang w:bidi="en-US"/>
              </w:rPr>
              <w:t>TWO: SATISFACTION MEASURES</w:t>
            </w:r>
          </w:p>
          <w:p w14:paraId="15AD9B8E" w14:textId="77777777" w:rsidR="003F1652" w:rsidRPr="00693C83" w:rsidRDefault="003F1652" w:rsidP="003F1652">
            <w:pPr>
              <w:spacing w:after="0" w:line="240" w:lineRule="auto"/>
              <w:rPr>
                <w:rFonts w:ascii="Cambria" w:eastAsia="Batang" w:hAnsi="Cambria"/>
                <w:color w:val="080808"/>
                <w:sz w:val="20"/>
                <w:szCs w:val="20"/>
              </w:rPr>
            </w:pPr>
            <w:r w:rsidRPr="00693C83">
              <w:rPr>
                <w:rFonts w:ascii="Cambria" w:eastAsia="Batang" w:hAnsi="Cambria"/>
                <w:color w:val="080808"/>
                <w:sz w:val="20"/>
                <w:szCs w:val="20"/>
              </w:rPr>
              <w:t>The Colombian State undertakes to hold a private act of recognition of responsibility in which it will deliver a letter of apology to the family of the victim.</w:t>
            </w:r>
          </w:p>
          <w:p w14:paraId="40354844" w14:textId="77777777" w:rsidR="003F1652" w:rsidRPr="00693C83" w:rsidRDefault="003F1652" w:rsidP="003F1652">
            <w:pPr>
              <w:spacing w:after="0" w:line="240" w:lineRule="auto"/>
              <w:rPr>
                <w:rFonts w:ascii="Cambria" w:eastAsia="Batang" w:hAnsi="Cambria"/>
                <w:color w:val="080808"/>
                <w:sz w:val="20"/>
                <w:szCs w:val="20"/>
              </w:rPr>
            </w:pPr>
          </w:p>
          <w:p w14:paraId="30F40E5F" w14:textId="57221C96" w:rsidR="00550B55" w:rsidRPr="00693C83" w:rsidRDefault="003F1652" w:rsidP="003F1652">
            <w:pPr>
              <w:spacing w:after="0" w:line="240" w:lineRule="auto"/>
              <w:rPr>
                <w:rFonts w:ascii="Cambria" w:eastAsia="Batang" w:hAnsi="Cambria"/>
                <w:color w:val="080808"/>
                <w:sz w:val="20"/>
                <w:szCs w:val="20"/>
              </w:rPr>
            </w:pPr>
            <w:r w:rsidRPr="00693C83">
              <w:rPr>
                <w:rFonts w:ascii="Cambria" w:eastAsia="Batang" w:hAnsi="Cambria"/>
                <w:color w:val="080808"/>
                <w:sz w:val="20"/>
                <w:szCs w:val="20"/>
              </w:rPr>
              <w:t>Logistical and technical support for these measures will be provided by the Office of the Presidential Advisor for Human Rights.</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40D93F2E" w:rsidR="00550B55" w:rsidRPr="00693C83" w:rsidRDefault="003F1652" w:rsidP="003F1652">
            <w:pPr>
              <w:spacing w:after="0" w:line="240" w:lineRule="auto"/>
              <w:jc w:val="center"/>
              <w:rPr>
                <w:rFonts w:ascii="Cambria" w:hAnsi="Cambria"/>
                <w:b/>
                <w:sz w:val="20"/>
                <w:szCs w:val="20"/>
              </w:rPr>
            </w:pPr>
            <w:r w:rsidRPr="00693C83">
              <w:rPr>
                <w:rFonts w:ascii="Cambria" w:eastAsia="Batang" w:hAnsi="Cambria"/>
                <w:b/>
                <w:color w:val="000000"/>
                <w:sz w:val="20"/>
                <w:szCs w:val="20"/>
                <w:lang w:eastAsia="es-ES_tradnl"/>
              </w:rPr>
              <w:t>Total</w:t>
            </w:r>
            <w:r w:rsidRPr="00693C83">
              <w:rPr>
                <w:rFonts w:ascii="Cambria" w:eastAsia="Batang" w:hAnsi="Cambria"/>
                <w:b/>
                <w:color w:val="000000"/>
                <w:sz w:val="20"/>
                <w:szCs w:val="20"/>
                <w:vertAlign w:val="superscript"/>
                <w:lang w:eastAsia="es-ES_tradnl"/>
              </w:rPr>
              <w:footnoteReference w:id="1"/>
            </w:r>
          </w:p>
        </w:tc>
      </w:tr>
      <w:tr w:rsidR="00550B55" w:rsidRPr="00B040C7" w14:paraId="0C4AA553" w14:textId="77777777" w:rsidTr="003F1652">
        <w:trPr>
          <w:trHeight w:val="1685"/>
          <w:jc w:val="center"/>
        </w:trPr>
        <w:tc>
          <w:tcPr>
            <w:tcW w:w="7371" w:type="dxa"/>
            <w:tcBorders>
              <w:top w:val="single" w:sz="4" w:space="0" w:color="auto"/>
              <w:left w:val="single" w:sz="4" w:space="0" w:color="auto"/>
              <w:bottom w:val="single" w:sz="4" w:space="0" w:color="auto"/>
              <w:right w:val="single" w:sz="4" w:space="0" w:color="auto"/>
            </w:tcBorders>
            <w:vAlign w:val="center"/>
          </w:tcPr>
          <w:p w14:paraId="52E72763" w14:textId="77777777" w:rsidR="003F1652" w:rsidRPr="00693C83" w:rsidRDefault="003F1652" w:rsidP="003F1652">
            <w:pPr>
              <w:spacing w:after="0" w:line="240" w:lineRule="auto"/>
              <w:ind w:right="-18"/>
              <w:jc w:val="both"/>
              <w:rPr>
                <w:rFonts w:ascii="Cambria" w:hAnsi="Cambria"/>
                <w:b/>
                <w:color w:val="000000"/>
                <w:kern w:val="36"/>
                <w:sz w:val="20"/>
                <w:szCs w:val="20"/>
                <w:lang w:bidi="en-US"/>
              </w:rPr>
            </w:pPr>
            <w:r w:rsidRPr="00693C83">
              <w:rPr>
                <w:rFonts w:ascii="Cambria" w:hAnsi="Cambria"/>
                <w:b/>
                <w:color w:val="000000"/>
                <w:kern w:val="36"/>
                <w:sz w:val="20"/>
                <w:szCs w:val="20"/>
                <w:lang w:bidi="en-US"/>
              </w:rPr>
              <w:t xml:space="preserve">THREE: PECUNIARY REPARATION </w:t>
            </w:r>
          </w:p>
          <w:p w14:paraId="0E34A83C" w14:textId="08DEE632" w:rsidR="00550B55" w:rsidRPr="00693C83" w:rsidRDefault="003F1652" w:rsidP="003F1652">
            <w:pPr>
              <w:pStyle w:val="BodyTextIndent"/>
              <w:spacing w:after="0"/>
              <w:ind w:left="0" w:right="-18"/>
              <w:jc w:val="both"/>
              <w:rPr>
                <w:bCs/>
                <w:color w:val="000000"/>
                <w:sz w:val="20"/>
                <w:szCs w:val="20"/>
              </w:rPr>
            </w:pPr>
            <w:r w:rsidRPr="00693C83">
              <w:rPr>
                <w:rFonts w:eastAsia="Calibri" w:cs="Times New Roman"/>
                <w:bCs/>
                <w:color w:val="000000"/>
                <w:kern w:val="36"/>
                <w:sz w:val="20"/>
                <w:szCs w:val="20"/>
              </w:rPr>
              <w:t>The State undertakes to enforce Law 288 once this Friendly Settlement Agreement is approved through issuance of the Article 49 report under the American Convention, for the purpose of redressing the non-material damages that may be proven to the relatives of the victim which have not been compensated through the contentious administrative jurisdiction.</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6923D7ED" w:rsidR="00550B55" w:rsidRPr="00693C83" w:rsidRDefault="00E0051B" w:rsidP="00550B55">
            <w:pPr>
              <w:spacing w:after="0" w:line="240" w:lineRule="auto"/>
              <w:jc w:val="center"/>
              <w:rPr>
                <w:rFonts w:ascii="Cambria" w:hAnsi="Cambria"/>
                <w:b/>
                <w:color w:val="000000"/>
                <w:sz w:val="20"/>
                <w:szCs w:val="20"/>
              </w:rPr>
            </w:pPr>
            <w:r w:rsidRPr="00693C83">
              <w:rPr>
                <w:rFonts w:ascii="Cambria" w:hAnsi="Cambria"/>
                <w:b/>
                <w:color w:val="000000"/>
                <w:sz w:val="20"/>
                <w:szCs w:val="20"/>
              </w:rPr>
              <w:t>Total</w:t>
            </w:r>
            <w:r w:rsidRPr="00693C83">
              <w:rPr>
                <w:rStyle w:val="FootnoteReference"/>
                <w:rFonts w:ascii="Cambria" w:hAnsi="Cambria"/>
                <w:b/>
                <w:color w:val="000000"/>
                <w:sz w:val="20"/>
                <w:szCs w:val="20"/>
              </w:rPr>
              <w:footnoteReference w:id="2"/>
            </w:r>
          </w:p>
        </w:tc>
      </w:tr>
    </w:tbl>
    <w:p w14:paraId="76569D6D" w14:textId="77777777" w:rsidR="003E6F57" w:rsidRDefault="003E6F57" w:rsidP="001541D4">
      <w:pPr>
        <w:spacing w:after="0" w:line="240" w:lineRule="auto"/>
        <w:ind w:left="709" w:right="4"/>
        <w:jc w:val="both"/>
        <w:rPr>
          <w:rFonts w:ascii="Cambria" w:eastAsia="MS Mincho" w:hAnsi="Cambria"/>
          <w:color w:val="000000"/>
          <w:highlight w:val="yellow"/>
        </w:rPr>
      </w:pPr>
    </w:p>
    <w:p w14:paraId="45513F87" w14:textId="77777777" w:rsidR="001800AE" w:rsidRDefault="001800AE" w:rsidP="001541D4">
      <w:pPr>
        <w:spacing w:after="0" w:line="240" w:lineRule="auto"/>
        <w:ind w:left="709" w:right="4"/>
        <w:jc w:val="both"/>
        <w:rPr>
          <w:rFonts w:ascii="Cambria" w:eastAsia="MS Mincho" w:hAnsi="Cambria"/>
          <w:color w:val="000000"/>
          <w:highlight w:val="yellow"/>
        </w:rPr>
      </w:pPr>
    </w:p>
    <w:p w14:paraId="4302C3C8" w14:textId="77777777" w:rsidR="001800AE" w:rsidRDefault="001800AE" w:rsidP="001541D4">
      <w:pPr>
        <w:spacing w:after="0" w:line="240" w:lineRule="auto"/>
        <w:ind w:left="709" w:right="4"/>
        <w:jc w:val="both"/>
        <w:rPr>
          <w:rFonts w:ascii="Cambria" w:eastAsia="MS Mincho" w:hAnsi="Cambria"/>
          <w:color w:val="000000"/>
          <w:highlight w:val="yellow"/>
        </w:rPr>
      </w:pPr>
    </w:p>
    <w:p w14:paraId="2DA23A40" w14:textId="77777777" w:rsidR="001800AE" w:rsidRPr="007175E2" w:rsidRDefault="001800AE" w:rsidP="001541D4">
      <w:pPr>
        <w:spacing w:after="0" w:line="240" w:lineRule="auto"/>
        <w:ind w:left="709" w:right="4"/>
        <w:jc w:val="both"/>
        <w:rPr>
          <w:rFonts w:ascii="Cambria" w:eastAsia="MS Mincho" w:hAnsi="Cambria"/>
          <w:color w:val="000000"/>
          <w:highlight w:val="yellow"/>
        </w:rPr>
      </w:pPr>
    </w:p>
    <w:p w14:paraId="73E24492" w14:textId="77777777" w:rsidR="003E6F57"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LEVEL OF COMPLIANCE OF THE CASE </w:t>
      </w:r>
    </w:p>
    <w:p w14:paraId="67E53F02"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3A981D1A" w14:textId="5A381E2C" w:rsidR="00401DCE" w:rsidRPr="00693C83" w:rsidRDefault="00401DCE" w:rsidP="00693C83">
      <w:pPr>
        <w:pStyle w:val="ListParagraph"/>
        <w:numPr>
          <w:ilvl w:val="0"/>
          <w:numId w:val="4"/>
        </w:numPr>
        <w:autoSpaceDE w:val="0"/>
        <w:autoSpaceDN w:val="0"/>
        <w:adjustRightInd w:val="0"/>
        <w:spacing w:after="0" w:line="240" w:lineRule="auto"/>
        <w:ind w:left="0" w:firstLine="720"/>
        <w:jc w:val="both"/>
        <w:rPr>
          <w:rFonts w:ascii="Cambria" w:eastAsia="Batang" w:hAnsi="Cambria" w:cs="Calibri Light"/>
          <w:b/>
          <w:color w:val="000000"/>
          <w:sz w:val="20"/>
          <w:szCs w:val="20"/>
        </w:rPr>
      </w:pPr>
      <w:r w:rsidRPr="00693C83">
        <w:rPr>
          <w:rFonts w:ascii="Cambria" w:hAnsi="Cambria"/>
          <w:color w:val="080808"/>
          <w:sz w:val="20"/>
          <w:szCs w:val="20"/>
        </w:rPr>
        <w:t>The Commission declared full compliance with the case and the ceasing of the follow-up of the friendly settlement agreement in the 2023 Annual Report.</w:t>
      </w:r>
    </w:p>
    <w:p w14:paraId="0BE1F76F"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6D61D9A6" w14:textId="5DE79CDB" w:rsidR="00401DCE" w:rsidRPr="007175E2" w:rsidRDefault="00401DCE"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INDIVIDUAL AND STRUCTURAL OUTCOMES OF THE CASE</w:t>
      </w:r>
    </w:p>
    <w:p w14:paraId="0F1E3E7C" w14:textId="77777777" w:rsidR="003E6F57" w:rsidRPr="007175E2" w:rsidRDefault="003E6F57" w:rsidP="00401DCE">
      <w:pPr>
        <w:spacing w:after="0" w:line="240" w:lineRule="auto"/>
        <w:contextualSpacing/>
        <w:jc w:val="both"/>
        <w:rPr>
          <w:rFonts w:ascii="Cambria" w:eastAsia="Batang" w:hAnsi="Cambria" w:cs="Calibri Light"/>
          <w:b/>
          <w:color w:val="000000"/>
        </w:rPr>
      </w:pPr>
    </w:p>
    <w:p w14:paraId="164FCF46" w14:textId="77777777" w:rsidR="003E6F57" w:rsidRPr="00693C83" w:rsidRDefault="003E6F57" w:rsidP="00637AFB">
      <w:pPr>
        <w:numPr>
          <w:ilvl w:val="0"/>
          <w:numId w:val="38"/>
        </w:numPr>
        <w:spacing w:after="0" w:line="240" w:lineRule="auto"/>
        <w:ind w:left="1418" w:right="4" w:hanging="709"/>
        <w:contextualSpacing/>
        <w:jc w:val="both"/>
        <w:rPr>
          <w:rFonts w:ascii="Cambria" w:hAnsi="Cambria" w:cs="Calibri Light"/>
          <w:b/>
          <w:sz w:val="20"/>
          <w:szCs w:val="20"/>
        </w:rPr>
      </w:pPr>
      <w:r w:rsidRPr="00693C83">
        <w:rPr>
          <w:rFonts w:ascii="Cambria" w:hAnsi="Cambria" w:cs="Calibri Light"/>
          <w:b/>
          <w:sz w:val="20"/>
          <w:szCs w:val="20"/>
        </w:rPr>
        <w:t>Individual outcomes of the case</w:t>
      </w:r>
    </w:p>
    <w:p w14:paraId="0ECF7B10" w14:textId="77777777" w:rsidR="003E6F57" w:rsidRPr="007175E2" w:rsidRDefault="003E6F57" w:rsidP="003E6F57">
      <w:pPr>
        <w:spacing w:after="0" w:line="240" w:lineRule="auto"/>
        <w:ind w:left="1418" w:right="4" w:hanging="709"/>
        <w:contextualSpacing/>
        <w:jc w:val="both"/>
        <w:rPr>
          <w:rFonts w:ascii="Cambria" w:hAnsi="Cambria" w:cs="Calibri Light"/>
          <w:b/>
        </w:rPr>
      </w:pPr>
    </w:p>
    <w:p w14:paraId="5F8AE2A0" w14:textId="77777777" w:rsidR="003F1652" w:rsidRPr="00693C83" w:rsidRDefault="003F1652" w:rsidP="003F1652">
      <w:pPr>
        <w:numPr>
          <w:ilvl w:val="0"/>
          <w:numId w:val="36"/>
        </w:numPr>
        <w:tabs>
          <w:tab w:val="left" w:pos="0"/>
        </w:tabs>
        <w:spacing w:after="0" w:line="240" w:lineRule="auto"/>
        <w:ind w:left="1418" w:right="4" w:hanging="709"/>
        <w:contextualSpacing/>
        <w:jc w:val="both"/>
        <w:rPr>
          <w:rFonts w:ascii="Cambria" w:eastAsia="Batang" w:hAnsi="Cambria"/>
          <w:bCs/>
          <w:color w:val="080808"/>
          <w:sz w:val="20"/>
          <w:szCs w:val="20"/>
        </w:rPr>
      </w:pPr>
      <w:r w:rsidRPr="00693C83">
        <w:rPr>
          <w:rFonts w:ascii="Cambria" w:eastAsia="Batang" w:hAnsi="Cambria"/>
          <w:bCs/>
          <w:color w:val="080808"/>
          <w:sz w:val="20"/>
          <w:szCs w:val="20"/>
        </w:rPr>
        <w:t>The State held the ceremony acknowledging responsibility.</w:t>
      </w:r>
    </w:p>
    <w:p w14:paraId="348955C8" w14:textId="1A1B75E7" w:rsidR="003E6F57" w:rsidRPr="00693C83" w:rsidRDefault="003F1652" w:rsidP="003F1652">
      <w:pPr>
        <w:numPr>
          <w:ilvl w:val="0"/>
          <w:numId w:val="36"/>
        </w:numPr>
        <w:tabs>
          <w:tab w:val="left" w:pos="0"/>
        </w:tabs>
        <w:spacing w:after="0" w:line="240" w:lineRule="auto"/>
        <w:ind w:left="1418" w:right="4" w:hanging="709"/>
        <w:contextualSpacing/>
        <w:jc w:val="both"/>
        <w:rPr>
          <w:rFonts w:ascii="Cambria" w:eastAsia="Batang" w:hAnsi="Cambria"/>
          <w:bCs/>
          <w:color w:val="080808"/>
          <w:sz w:val="20"/>
          <w:szCs w:val="20"/>
        </w:rPr>
      </w:pPr>
      <w:r w:rsidRPr="00693C83">
        <w:rPr>
          <w:rFonts w:ascii="Cambria" w:eastAsia="Batang" w:hAnsi="Cambria"/>
          <w:bCs/>
          <w:color w:val="080808"/>
          <w:sz w:val="20"/>
          <w:szCs w:val="20"/>
        </w:rPr>
        <w:t xml:space="preserve">The State made the payment of a total amount corresponding to seven hundred million pesos M/CTE. ($700,000,000.00), in favor of five beneficiaries. </w:t>
      </w:r>
    </w:p>
    <w:sectPr w:rsidR="003E6F57" w:rsidRPr="00693C83" w:rsidSect="0064781F">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2F51" w14:textId="77777777" w:rsidR="0064781F" w:rsidRDefault="0064781F" w:rsidP="00A343FF">
      <w:pPr>
        <w:spacing w:after="0" w:line="240" w:lineRule="auto"/>
      </w:pPr>
      <w:r>
        <w:separator/>
      </w:r>
    </w:p>
  </w:endnote>
  <w:endnote w:type="continuationSeparator" w:id="0">
    <w:p w14:paraId="6D57052E" w14:textId="77777777" w:rsidR="0064781F" w:rsidRDefault="0064781F"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A57590"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BB41" w14:textId="77777777" w:rsidR="0064781F" w:rsidRDefault="0064781F" w:rsidP="00A343FF">
      <w:pPr>
        <w:spacing w:after="0" w:line="240" w:lineRule="auto"/>
      </w:pPr>
      <w:r>
        <w:separator/>
      </w:r>
    </w:p>
  </w:footnote>
  <w:footnote w:type="continuationSeparator" w:id="0">
    <w:p w14:paraId="71C3B669" w14:textId="77777777" w:rsidR="0064781F" w:rsidRDefault="0064781F" w:rsidP="00A343FF">
      <w:pPr>
        <w:spacing w:after="0" w:line="240" w:lineRule="auto"/>
      </w:pPr>
      <w:r>
        <w:continuationSeparator/>
      </w:r>
    </w:p>
  </w:footnote>
  <w:footnote w:id="1">
    <w:p w14:paraId="42833B0B" w14:textId="77777777" w:rsidR="003F1652" w:rsidRPr="001800AE" w:rsidRDefault="003F1652" w:rsidP="003F1652">
      <w:pPr>
        <w:tabs>
          <w:tab w:val="left" w:pos="180"/>
          <w:tab w:val="left" w:pos="270"/>
          <w:tab w:val="left" w:pos="360"/>
        </w:tabs>
        <w:spacing w:after="0" w:line="240" w:lineRule="auto"/>
        <w:ind w:firstLine="720"/>
        <w:jc w:val="both"/>
        <w:rPr>
          <w:rFonts w:ascii="Cambria" w:hAnsi="Cambria"/>
          <w:sz w:val="16"/>
          <w:szCs w:val="16"/>
        </w:rPr>
      </w:pPr>
      <w:r w:rsidRPr="00693C83">
        <w:rPr>
          <w:rStyle w:val="FootnoteReference"/>
          <w:rFonts w:ascii="Cambria" w:hAnsi="Cambria"/>
          <w:sz w:val="16"/>
          <w:szCs w:val="16"/>
        </w:rPr>
        <w:footnoteRef/>
      </w:r>
      <w:r w:rsidRPr="00693C83">
        <w:rPr>
          <w:rFonts w:ascii="Cambria" w:hAnsi="Cambria"/>
          <w:sz w:val="16"/>
          <w:szCs w:val="16"/>
        </w:rPr>
        <w:t xml:space="preserve"> </w:t>
      </w:r>
      <w:r w:rsidRPr="00693C83">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1">
        <w:r w:rsidRPr="00693C83">
          <w:rPr>
            <w:rStyle w:val="Hyperlink"/>
            <w:rFonts w:ascii="Cambria" w:hAnsi="Cambria"/>
            <w:sz w:val="16"/>
            <w:szCs w:val="16"/>
          </w:rPr>
          <w:t>http://www.oas.org/es/IACHR/docs/anual/2018/docs/IA2018cap.2-es.pdf</w:t>
        </w:r>
      </w:hyperlink>
    </w:p>
  </w:footnote>
  <w:footnote w:id="2">
    <w:p w14:paraId="1F1F92CA" w14:textId="43BB0DE1" w:rsidR="00E0051B" w:rsidRPr="00E0051B" w:rsidRDefault="00E0051B" w:rsidP="00E0051B">
      <w:pPr>
        <w:pStyle w:val="FootnoteText"/>
        <w:tabs>
          <w:tab w:val="left" w:pos="180"/>
          <w:tab w:val="left" w:pos="270"/>
          <w:tab w:val="left" w:pos="360"/>
        </w:tabs>
        <w:ind w:firstLine="709"/>
        <w:jc w:val="both"/>
        <w:rPr>
          <w:rFonts w:ascii="Cambria" w:hAnsi="Cambria"/>
          <w:color w:val="000000"/>
          <w:sz w:val="16"/>
          <w:szCs w:val="16"/>
        </w:rPr>
      </w:pPr>
      <w:r w:rsidRPr="00693C83">
        <w:rPr>
          <w:rStyle w:val="FootnoteReference"/>
          <w:rFonts w:ascii="Cambria" w:hAnsi="Cambria"/>
          <w:color w:val="000000"/>
          <w:sz w:val="16"/>
          <w:szCs w:val="16"/>
        </w:rPr>
        <w:footnoteRef/>
      </w:r>
      <w:r w:rsidRPr="00693C83">
        <w:rPr>
          <w:rFonts w:ascii="Cambria" w:hAnsi="Cambria"/>
          <w:color w:val="000000"/>
          <w:sz w:val="16"/>
          <w:szCs w:val="16"/>
        </w:rPr>
        <w:t xml:space="preserve"> </w:t>
      </w:r>
      <w:r w:rsidR="003F1652" w:rsidRPr="00693C83">
        <w:rPr>
          <w:rFonts w:ascii="Cambria" w:hAnsi="Cambria"/>
          <w:color w:val="000000"/>
          <w:sz w:val="16"/>
          <w:szCs w:val="16"/>
        </w:rPr>
        <w:t>See IACHR, 202</w:t>
      </w:r>
      <w:r w:rsidR="00E761BB" w:rsidRPr="00693C83">
        <w:rPr>
          <w:rFonts w:ascii="Cambria" w:hAnsi="Cambria"/>
          <w:color w:val="000000"/>
          <w:sz w:val="16"/>
          <w:szCs w:val="16"/>
        </w:rPr>
        <w:t>3</w:t>
      </w:r>
      <w:r w:rsidR="003F1652" w:rsidRPr="00693C83">
        <w:rPr>
          <w:rFonts w:ascii="Cambria" w:hAnsi="Cambria"/>
          <w:color w:val="000000"/>
          <w:sz w:val="16"/>
          <w:szCs w:val="16"/>
        </w:rPr>
        <w:t xml:space="preserve"> Annual Report, Chapter II, Section X. Advances and challenges on negotiation and implementation of friendly settlements, Available at: </w:t>
      </w:r>
      <w:hyperlink r:id="rId2" w:history="1">
        <w:r w:rsidR="001800AE" w:rsidRPr="001800AE">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A57590">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A57590"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46898"/>
    <w:multiLevelType w:val="hybridMultilevel"/>
    <w:tmpl w:val="2DE614DE"/>
    <w:lvl w:ilvl="0" w:tplc="F42261C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443C"/>
    <w:multiLevelType w:val="multilevel"/>
    <w:tmpl w:val="D5ACA5C4"/>
    <w:lvl w:ilvl="0">
      <w:start w:val="1"/>
      <w:numFmt w:val="decimal"/>
      <w:lvlText w:val="%1."/>
      <w:lvlJc w:val="left"/>
      <w:pPr>
        <w:ind w:left="1080" w:hanging="360"/>
      </w:pPr>
      <w:rPr>
        <w:rFonts w:eastAsia="Arial" w:cs="Arial" w:hint="default"/>
        <w:b/>
        <w:color w:val="auto"/>
        <w:w w:val="105"/>
      </w:rPr>
    </w:lvl>
    <w:lvl w:ilvl="1">
      <w:start w:val="1"/>
      <w:numFmt w:val="decimal"/>
      <w:isLgl/>
      <w:lvlText w:val="%1.%2"/>
      <w:lvlJc w:val="left"/>
      <w:pPr>
        <w:ind w:left="2437" w:hanging="1245"/>
      </w:pPr>
      <w:rPr>
        <w:rFonts w:ascii="Cambria" w:hAnsi="Cambria" w:hint="default"/>
        <w:color w:val="FF0000"/>
        <w:sz w:val="20"/>
      </w:rPr>
    </w:lvl>
    <w:lvl w:ilvl="2">
      <w:start w:val="1"/>
      <w:numFmt w:val="decimal"/>
      <w:isLgl/>
      <w:lvlText w:val="%1.%2.%3"/>
      <w:lvlJc w:val="left"/>
      <w:pPr>
        <w:ind w:left="2909" w:hanging="1245"/>
      </w:pPr>
      <w:rPr>
        <w:rFonts w:ascii="Cambria" w:hAnsi="Cambria" w:hint="default"/>
        <w:color w:val="auto"/>
        <w:sz w:val="20"/>
      </w:rPr>
    </w:lvl>
    <w:lvl w:ilvl="3">
      <w:start w:val="1"/>
      <w:numFmt w:val="decimal"/>
      <w:isLgl/>
      <w:lvlText w:val="%1.%2.%3.%4"/>
      <w:lvlJc w:val="left"/>
      <w:pPr>
        <w:ind w:left="3381" w:hanging="1245"/>
      </w:pPr>
      <w:rPr>
        <w:rFonts w:ascii="Cambria" w:hAnsi="Cambria" w:hint="default"/>
        <w:color w:val="FF0000"/>
        <w:sz w:val="20"/>
      </w:rPr>
    </w:lvl>
    <w:lvl w:ilvl="4">
      <w:start w:val="1"/>
      <w:numFmt w:val="decimal"/>
      <w:isLgl/>
      <w:lvlText w:val="%1.%2.%3.%4.%5"/>
      <w:lvlJc w:val="left"/>
      <w:pPr>
        <w:ind w:left="3853" w:hanging="1245"/>
      </w:pPr>
      <w:rPr>
        <w:rFonts w:ascii="Cambria" w:hAnsi="Cambria" w:hint="default"/>
        <w:color w:val="FF0000"/>
        <w:sz w:val="20"/>
      </w:rPr>
    </w:lvl>
    <w:lvl w:ilvl="5">
      <w:start w:val="1"/>
      <w:numFmt w:val="decimal"/>
      <w:isLgl/>
      <w:lvlText w:val="%1.%2.%3.%4.%5.%6"/>
      <w:lvlJc w:val="left"/>
      <w:pPr>
        <w:ind w:left="4520" w:hanging="1440"/>
      </w:pPr>
      <w:rPr>
        <w:rFonts w:ascii="Cambria" w:hAnsi="Cambria" w:hint="default"/>
        <w:color w:val="FF0000"/>
        <w:sz w:val="20"/>
      </w:rPr>
    </w:lvl>
    <w:lvl w:ilvl="6">
      <w:start w:val="1"/>
      <w:numFmt w:val="decimal"/>
      <w:isLgl/>
      <w:lvlText w:val="%1.%2.%3.%4.%5.%6.%7"/>
      <w:lvlJc w:val="left"/>
      <w:pPr>
        <w:ind w:left="4992" w:hanging="1440"/>
      </w:pPr>
      <w:rPr>
        <w:rFonts w:ascii="Cambria" w:hAnsi="Cambria" w:hint="default"/>
        <w:color w:val="FF0000"/>
        <w:sz w:val="20"/>
      </w:rPr>
    </w:lvl>
    <w:lvl w:ilvl="7">
      <w:start w:val="1"/>
      <w:numFmt w:val="decimal"/>
      <w:isLgl/>
      <w:lvlText w:val="%1.%2.%3.%4.%5.%6.%7.%8"/>
      <w:lvlJc w:val="left"/>
      <w:pPr>
        <w:ind w:left="5824" w:hanging="1800"/>
      </w:pPr>
      <w:rPr>
        <w:rFonts w:ascii="Cambria" w:hAnsi="Cambria" w:hint="default"/>
        <w:color w:val="FF0000"/>
        <w:sz w:val="20"/>
      </w:rPr>
    </w:lvl>
    <w:lvl w:ilvl="8">
      <w:start w:val="1"/>
      <w:numFmt w:val="decimal"/>
      <w:isLgl/>
      <w:lvlText w:val="%1.%2.%3.%4.%5.%6.%7.%8.%9"/>
      <w:lvlJc w:val="left"/>
      <w:pPr>
        <w:ind w:left="6296" w:hanging="1800"/>
      </w:pPr>
      <w:rPr>
        <w:rFonts w:ascii="Cambria" w:hAnsi="Cambria" w:hint="default"/>
        <w:color w:val="FF0000"/>
        <w:sz w:val="20"/>
      </w:r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62DF"/>
    <w:multiLevelType w:val="hybridMultilevel"/>
    <w:tmpl w:val="95C050FE"/>
    <w:lvl w:ilvl="0" w:tplc="AE5A3C7E">
      <w:start w:val="1"/>
      <w:numFmt w:val="decimal"/>
      <w:lvlText w:val="%1."/>
      <w:lvlJc w:val="left"/>
      <w:pPr>
        <w:ind w:left="135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491C52"/>
    <w:multiLevelType w:val="hybridMultilevel"/>
    <w:tmpl w:val="7CA08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903577"/>
    <w:multiLevelType w:val="hybridMultilevel"/>
    <w:tmpl w:val="8ED654D6"/>
    <w:lvl w:ilvl="0" w:tplc="02E0BA42">
      <w:start w:val="1"/>
      <w:numFmt w:val="bullet"/>
      <w:lvlText w:val=""/>
      <w:lvlJc w:val="left"/>
      <w:pPr>
        <w:ind w:left="1440" w:hanging="360"/>
      </w:pPr>
      <w:rPr>
        <w:rFonts w:ascii="Symbol" w:hAnsi="Symbol" w:hint="default"/>
        <w:lang w:val="es-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951C10"/>
    <w:multiLevelType w:val="hybridMultilevel"/>
    <w:tmpl w:val="2F12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4"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77037557"/>
    <w:multiLevelType w:val="hybridMultilevel"/>
    <w:tmpl w:val="99D4DA4E"/>
    <w:lvl w:ilvl="0" w:tplc="0409000F">
      <w:start w:val="1"/>
      <w:numFmt w:val="decimal"/>
      <w:lvlText w:val="%1."/>
      <w:lvlJc w:val="left"/>
      <w:pPr>
        <w:ind w:left="720" w:hanging="360"/>
      </w:pPr>
      <w:rPr>
        <w:rFonts w:hint="default"/>
      </w:rPr>
    </w:lvl>
    <w:lvl w:ilvl="1" w:tplc="8EEEC4DE">
      <w:numFmt w:val="bullet"/>
      <w:lvlText w:val="-"/>
      <w:lvlJc w:val="left"/>
      <w:pPr>
        <w:ind w:left="1440" w:hanging="360"/>
      </w:pPr>
      <w:rPr>
        <w:rFonts w:ascii="Cambria" w:eastAsiaTheme="minorHAnsi" w:hAnsi="Cambria"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3"/>
  </w:num>
  <w:num w:numId="2" w16cid:durableId="453600156">
    <w:abstractNumId w:val="34"/>
  </w:num>
  <w:num w:numId="3" w16cid:durableId="897327684">
    <w:abstractNumId w:val="20"/>
  </w:num>
  <w:num w:numId="4" w16cid:durableId="1141650489">
    <w:abstractNumId w:val="33"/>
  </w:num>
  <w:num w:numId="5" w16cid:durableId="746342540">
    <w:abstractNumId w:val="15"/>
  </w:num>
  <w:num w:numId="6" w16cid:durableId="1621692518">
    <w:abstractNumId w:val="8"/>
  </w:num>
  <w:num w:numId="7" w16cid:durableId="971790784">
    <w:abstractNumId w:val="1"/>
  </w:num>
  <w:num w:numId="8" w16cid:durableId="1387029646">
    <w:abstractNumId w:val="41"/>
  </w:num>
  <w:num w:numId="9" w16cid:durableId="1086881292">
    <w:abstractNumId w:val="9"/>
  </w:num>
  <w:num w:numId="10" w16cid:durableId="1292322756">
    <w:abstractNumId w:val="14"/>
  </w:num>
  <w:num w:numId="11" w16cid:durableId="1000500350">
    <w:abstractNumId w:val="4"/>
  </w:num>
  <w:num w:numId="12" w16cid:durableId="1706103099">
    <w:abstractNumId w:val="40"/>
  </w:num>
  <w:num w:numId="13" w16cid:durableId="1756710271">
    <w:abstractNumId w:val="23"/>
  </w:num>
  <w:num w:numId="14" w16cid:durableId="1099252676">
    <w:abstractNumId w:val="44"/>
  </w:num>
  <w:num w:numId="15" w16cid:durableId="1030109151">
    <w:abstractNumId w:val="18"/>
  </w:num>
  <w:num w:numId="16" w16cid:durableId="1722748191">
    <w:abstractNumId w:val="17"/>
  </w:num>
  <w:num w:numId="17" w16cid:durableId="351491452">
    <w:abstractNumId w:val="32"/>
  </w:num>
  <w:num w:numId="18" w16cid:durableId="1027633537">
    <w:abstractNumId w:val="11"/>
  </w:num>
  <w:num w:numId="19" w16cid:durableId="457845413">
    <w:abstractNumId w:val="31"/>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2"/>
  </w:num>
  <w:num w:numId="22" w16cid:durableId="2003926928">
    <w:abstractNumId w:val="12"/>
  </w:num>
  <w:num w:numId="23" w16cid:durableId="1497725357">
    <w:abstractNumId w:val="26"/>
  </w:num>
  <w:num w:numId="24" w16cid:durableId="307248652">
    <w:abstractNumId w:val="28"/>
  </w:num>
  <w:num w:numId="25" w16cid:durableId="1985550389">
    <w:abstractNumId w:val="7"/>
  </w:num>
  <w:num w:numId="26" w16cid:durableId="1478456909">
    <w:abstractNumId w:val="10"/>
  </w:num>
  <w:num w:numId="27" w16cid:durableId="1176925587">
    <w:abstractNumId w:val="5"/>
  </w:num>
  <w:num w:numId="28" w16cid:durableId="1876766616">
    <w:abstractNumId w:val="42"/>
  </w:num>
  <w:num w:numId="29" w16cid:durableId="2142572164">
    <w:abstractNumId w:val="38"/>
  </w:num>
  <w:num w:numId="30" w16cid:durableId="571933528">
    <w:abstractNumId w:val="36"/>
  </w:num>
  <w:num w:numId="31" w16cid:durableId="1861430946">
    <w:abstractNumId w:val="16"/>
  </w:num>
  <w:num w:numId="32" w16cid:durableId="803893092">
    <w:abstractNumId w:val="19"/>
  </w:num>
  <w:num w:numId="33" w16cid:durableId="1739936026">
    <w:abstractNumId w:val="6"/>
  </w:num>
  <w:num w:numId="34" w16cid:durableId="1458915668">
    <w:abstractNumId w:val="35"/>
  </w:num>
  <w:num w:numId="35" w16cid:durableId="1599485303">
    <w:abstractNumId w:val="45"/>
  </w:num>
  <w:num w:numId="36" w16cid:durableId="1664964272">
    <w:abstractNumId w:val="43"/>
  </w:num>
  <w:num w:numId="37" w16cid:durableId="2074966919">
    <w:abstractNumId w:val="37"/>
  </w:num>
  <w:num w:numId="38" w16cid:durableId="20934263">
    <w:abstractNumId w:val="27"/>
  </w:num>
  <w:num w:numId="39" w16cid:durableId="195656616">
    <w:abstractNumId w:val="29"/>
  </w:num>
  <w:num w:numId="40" w16cid:durableId="859011189">
    <w:abstractNumId w:val="39"/>
  </w:num>
  <w:num w:numId="41" w16cid:durableId="1023283258">
    <w:abstractNumId w:val="24"/>
  </w:num>
  <w:num w:numId="42" w16cid:durableId="990402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791555">
    <w:abstractNumId w:val="25"/>
  </w:num>
  <w:num w:numId="44" w16cid:durableId="1614701818">
    <w:abstractNumId w:val="2"/>
  </w:num>
  <w:num w:numId="45" w16cid:durableId="1142043388">
    <w:abstractNumId w:val="30"/>
  </w:num>
  <w:num w:numId="46" w16cid:durableId="329218937">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0D6F2C"/>
    <w:rsid w:val="001011E0"/>
    <w:rsid w:val="00101E3E"/>
    <w:rsid w:val="00112395"/>
    <w:rsid w:val="0012326D"/>
    <w:rsid w:val="0012586C"/>
    <w:rsid w:val="00127F17"/>
    <w:rsid w:val="001511FD"/>
    <w:rsid w:val="001541D4"/>
    <w:rsid w:val="00162518"/>
    <w:rsid w:val="001800AE"/>
    <w:rsid w:val="001834F6"/>
    <w:rsid w:val="001875BB"/>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40CD"/>
    <w:rsid w:val="002E4FBC"/>
    <w:rsid w:val="002F156A"/>
    <w:rsid w:val="0030551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1652"/>
    <w:rsid w:val="003F3C6B"/>
    <w:rsid w:val="00401DCE"/>
    <w:rsid w:val="00402700"/>
    <w:rsid w:val="00417964"/>
    <w:rsid w:val="00420BB1"/>
    <w:rsid w:val="0043583A"/>
    <w:rsid w:val="004545D1"/>
    <w:rsid w:val="00457BAB"/>
    <w:rsid w:val="00462B02"/>
    <w:rsid w:val="00470C7B"/>
    <w:rsid w:val="0047146A"/>
    <w:rsid w:val="004722BC"/>
    <w:rsid w:val="00472E04"/>
    <w:rsid w:val="0047567D"/>
    <w:rsid w:val="00477BF2"/>
    <w:rsid w:val="004A7BC8"/>
    <w:rsid w:val="004B3074"/>
    <w:rsid w:val="004B7CA6"/>
    <w:rsid w:val="004C6CCF"/>
    <w:rsid w:val="004C7C99"/>
    <w:rsid w:val="004F5CA9"/>
    <w:rsid w:val="004F5F70"/>
    <w:rsid w:val="004F6060"/>
    <w:rsid w:val="00504855"/>
    <w:rsid w:val="005145CC"/>
    <w:rsid w:val="005205B9"/>
    <w:rsid w:val="00520911"/>
    <w:rsid w:val="00534F2B"/>
    <w:rsid w:val="00550B55"/>
    <w:rsid w:val="005566F5"/>
    <w:rsid w:val="005829B9"/>
    <w:rsid w:val="00594A1B"/>
    <w:rsid w:val="005A328E"/>
    <w:rsid w:val="005A49FD"/>
    <w:rsid w:val="005A4D20"/>
    <w:rsid w:val="005A5AE8"/>
    <w:rsid w:val="005A5E14"/>
    <w:rsid w:val="005B2CD3"/>
    <w:rsid w:val="005B2E65"/>
    <w:rsid w:val="005C2637"/>
    <w:rsid w:val="005C414D"/>
    <w:rsid w:val="005D7F05"/>
    <w:rsid w:val="005E3720"/>
    <w:rsid w:val="005E4B03"/>
    <w:rsid w:val="005F171A"/>
    <w:rsid w:val="005F4AAA"/>
    <w:rsid w:val="0060081A"/>
    <w:rsid w:val="00604132"/>
    <w:rsid w:val="0063267F"/>
    <w:rsid w:val="00634F89"/>
    <w:rsid w:val="00637AFB"/>
    <w:rsid w:val="0064781F"/>
    <w:rsid w:val="00655003"/>
    <w:rsid w:val="00660EF3"/>
    <w:rsid w:val="00663A76"/>
    <w:rsid w:val="0067152B"/>
    <w:rsid w:val="00672090"/>
    <w:rsid w:val="00693C83"/>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B0327"/>
    <w:rsid w:val="007B1EDA"/>
    <w:rsid w:val="007B3452"/>
    <w:rsid w:val="007B3D07"/>
    <w:rsid w:val="007C2CC3"/>
    <w:rsid w:val="007C351D"/>
    <w:rsid w:val="007D4C18"/>
    <w:rsid w:val="007E463E"/>
    <w:rsid w:val="007F4E67"/>
    <w:rsid w:val="007F5F4E"/>
    <w:rsid w:val="00801509"/>
    <w:rsid w:val="00802867"/>
    <w:rsid w:val="00806082"/>
    <w:rsid w:val="00807BAA"/>
    <w:rsid w:val="008145AE"/>
    <w:rsid w:val="00817E0C"/>
    <w:rsid w:val="008338E4"/>
    <w:rsid w:val="00833BA8"/>
    <w:rsid w:val="00846397"/>
    <w:rsid w:val="008521E0"/>
    <w:rsid w:val="00854914"/>
    <w:rsid w:val="008550EF"/>
    <w:rsid w:val="0087640A"/>
    <w:rsid w:val="00893661"/>
    <w:rsid w:val="008A1CBE"/>
    <w:rsid w:val="008A31E5"/>
    <w:rsid w:val="008B1EA8"/>
    <w:rsid w:val="008B2A99"/>
    <w:rsid w:val="008B6DA8"/>
    <w:rsid w:val="008E42E1"/>
    <w:rsid w:val="008E751C"/>
    <w:rsid w:val="008F2248"/>
    <w:rsid w:val="009108A4"/>
    <w:rsid w:val="00913C77"/>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57590"/>
    <w:rsid w:val="00A61B5E"/>
    <w:rsid w:val="00A678C3"/>
    <w:rsid w:val="00A70B4A"/>
    <w:rsid w:val="00A76705"/>
    <w:rsid w:val="00A7781B"/>
    <w:rsid w:val="00A860C7"/>
    <w:rsid w:val="00AA164D"/>
    <w:rsid w:val="00AB0F8C"/>
    <w:rsid w:val="00AB253B"/>
    <w:rsid w:val="00AC2C8E"/>
    <w:rsid w:val="00AD24C9"/>
    <w:rsid w:val="00AE1B0F"/>
    <w:rsid w:val="00AF2D92"/>
    <w:rsid w:val="00B002D8"/>
    <w:rsid w:val="00B040C7"/>
    <w:rsid w:val="00B056D9"/>
    <w:rsid w:val="00B063D6"/>
    <w:rsid w:val="00B120EB"/>
    <w:rsid w:val="00B205A7"/>
    <w:rsid w:val="00B3732F"/>
    <w:rsid w:val="00B40F77"/>
    <w:rsid w:val="00B4343F"/>
    <w:rsid w:val="00B554FC"/>
    <w:rsid w:val="00B60889"/>
    <w:rsid w:val="00B674F5"/>
    <w:rsid w:val="00B74EA5"/>
    <w:rsid w:val="00B8008C"/>
    <w:rsid w:val="00B806AC"/>
    <w:rsid w:val="00B90F19"/>
    <w:rsid w:val="00B93993"/>
    <w:rsid w:val="00BA2B9F"/>
    <w:rsid w:val="00BB0A8F"/>
    <w:rsid w:val="00BC3854"/>
    <w:rsid w:val="00BF29D3"/>
    <w:rsid w:val="00C03B37"/>
    <w:rsid w:val="00C14CDB"/>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3A4D"/>
    <w:rsid w:val="00D048B2"/>
    <w:rsid w:val="00D05BCC"/>
    <w:rsid w:val="00D23C64"/>
    <w:rsid w:val="00D735C2"/>
    <w:rsid w:val="00D76EDC"/>
    <w:rsid w:val="00D91EBA"/>
    <w:rsid w:val="00D9413D"/>
    <w:rsid w:val="00DA7797"/>
    <w:rsid w:val="00DC5A37"/>
    <w:rsid w:val="00DC7C8F"/>
    <w:rsid w:val="00DE4A18"/>
    <w:rsid w:val="00DF0FE5"/>
    <w:rsid w:val="00E0051B"/>
    <w:rsid w:val="00E12118"/>
    <w:rsid w:val="00E177B0"/>
    <w:rsid w:val="00E24621"/>
    <w:rsid w:val="00E3040C"/>
    <w:rsid w:val="00E31824"/>
    <w:rsid w:val="00E42870"/>
    <w:rsid w:val="00E525B3"/>
    <w:rsid w:val="00E6614F"/>
    <w:rsid w:val="00E737AE"/>
    <w:rsid w:val="00E761BB"/>
    <w:rsid w:val="00E953CE"/>
    <w:rsid w:val="00EB2409"/>
    <w:rsid w:val="00EC0429"/>
    <w:rsid w:val="00EC2A38"/>
    <w:rsid w:val="00ED7332"/>
    <w:rsid w:val="00ED73A5"/>
    <w:rsid w:val="00F14821"/>
    <w:rsid w:val="00F16D46"/>
    <w:rsid w:val="00F43314"/>
    <w:rsid w:val="00F45256"/>
    <w:rsid w:val="00F53B51"/>
    <w:rsid w:val="00F54F60"/>
    <w:rsid w:val="00F61B1D"/>
    <w:rsid w:val="00F62829"/>
    <w:rsid w:val="00F66FEE"/>
    <w:rsid w:val="00F74974"/>
    <w:rsid w:val="00F7589F"/>
    <w:rsid w:val="00F8575B"/>
    <w:rsid w:val="00F9344E"/>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Footnote,de nota al pie"/>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paragraph" w:styleId="BodyTextIndent">
    <w:name w:val="Body Text Indent"/>
    <w:basedOn w:val="Normal"/>
    <w:link w:val="BodyTextIndentChar"/>
    <w:uiPriority w:val="99"/>
    <w:unhideWhenUsed/>
    <w:rsid w:val="00550B55"/>
    <w:pPr>
      <w:suppressAutoHyphens/>
      <w:spacing w:after="120" w:line="240" w:lineRule="auto"/>
      <w:ind w:left="360"/>
    </w:pPr>
    <w:rPr>
      <w:rFonts w:ascii="Cambria" w:eastAsiaTheme="minorHAnsi" w:hAnsi="Cambria" w:cstheme="minorBidi"/>
    </w:rPr>
  </w:style>
  <w:style w:type="character" w:customStyle="1" w:styleId="SangradetextonormalCar">
    <w:name w:val="Sangría de texto normal Car"/>
    <w:basedOn w:val="DefaultParagraphFont"/>
    <w:uiPriority w:val="99"/>
    <w:semiHidden/>
    <w:rsid w:val="00550B55"/>
    <w:rPr>
      <w:sz w:val="22"/>
      <w:szCs w:val="22"/>
      <w:lang w:val="en-US" w:eastAsia="en-US"/>
    </w:rPr>
  </w:style>
  <w:style w:type="character" w:customStyle="1" w:styleId="BodyTextIndentChar">
    <w:name w:val="Body Text Indent Char"/>
    <w:basedOn w:val="DefaultParagraphFont"/>
    <w:link w:val="BodyTextIndent"/>
    <w:uiPriority w:val="99"/>
    <w:rsid w:val="00550B55"/>
    <w:rPr>
      <w:rFonts w:ascii="Cambria" w:eastAsiaTheme="minorHAnsi" w:hAnsi="Cambria" w:cstheme="minorBidi"/>
      <w:sz w:val="22"/>
      <w:szCs w:val="22"/>
      <w:lang w:val="en-US" w:eastAsia="en-US"/>
    </w:rPr>
  </w:style>
  <w:style w:type="character" w:styleId="BookTitle">
    <w:name w:val="Book Title"/>
    <w:basedOn w:val="DefaultParagraphFont"/>
    <w:uiPriority w:val="33"/>
    <w:rsid w:val="00520911"/>
    <w:rPr>
      <w:b/>
      <w:bCs/>
      <w:i/>
      <w:iCs/>
      <w:spacing w:val="5"/>
    </w:rPr>
  </w:style>
  <w:style w:type="character" w:customStyle="1" w:styleId="TextonotapieCar2">
    <w:name w:val="Texto nota pie Car2"/>
    <w:aliases w:val="Footnote Text Char Char Char Char Char Car1,Footnote Text Char Char Char Char Car1,Footnote reference Car1,FA Fu Car1,Footnote Text Char Char Char Car1,Footnote Text Cha Car1,FA Fußnotentext Car1,FA Fuﬂnotentext Car1,Ca Car"/>
    <w:basedOn w:val="DefaultParagraphFont"/>
    <w:qFormat/>
    <w:rsid w:val="00E0051B"/>
    <w:rPr>
      <w:rFonts w:ascii="Cambria" w:hAnsi="Cambri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dh.oas.org/annualrep/2009eng/Colombia1385.06eng.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s.org/en/iachr/decisions/2017/COSA12712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s.org/en/iachr/decisions/2017/COSA12712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n/iachr/docs/annual/2023/chapters/IA2023_Cap_2_ENG.PDF" TargetMode="External"/><Relationship Id="rId1"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4.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